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C4224" w14:textId="77777777" w:rsidR="00D41086" w:rsidRPr="00221003" w:rsidRDefault="00D41086" w:rsidP="00F62562">
      <w:pPr>
        <w:pStyle w:val="Sansinterligne"/>
        <w:rPr>
          <w:sz w:val="28"/>
          <w:szCs w:val="28"/>
        </w:rPr>
      </w:pPr>
    </w:p>
    <w:p w14:paraId="77098E5A" w14:textId="660747CE" w:rsidR="00305BD5" w:rsidRDefault="00305BD5" w:rsidP="00EE447B">
      <w:pPr>
        <w:spacing w:after="0" w:line="240" w:lineRule="auto"/>
        <w:ind w:right="-1085"/>
        <w:jc w:val="center"/>
        <w:rPr>
          <w:b/>
          <w:sz w:val="28"/>
          <w:szCs w:val="28"/>
        </w:rPr>
      </w:pPr>
      <w:bookmarkStart w:id="0" w:name="_Hlk84408648"/>
    </w:p>
    <w:p w14:paraId="0C22F97B" w14:textId="77777777" w:rsidR="00305BD5" w:rsidRDefault="00305BD5" w:rsidP="00305BD5">
      <w:pPr>
        <w:tabs>
          <w:tab w:val="left" w:pos="3617"/>
        </w:tabs>
        <w:spacing w:after="0" w:line="240" w:lineRule="auto"/>
        <w:ind w:right="-1085"/>
        <w:rPr>
          <w:sz w:val="28"/>
          <w:szCs w:val="28"/>
        </w:rPr>
      </w:pPr>
      <w:r>
        <w:rPr>
          <w:sz w:val="28"/>
          <w:szCs w:val="28"/>
        </w:rPr>
        <w:tab/>
      </w:r>
      <w:r>
        <w:rPr>
          <w:sz w:val="28"/>
          <w:szCs w:val="28"/>
        </w:rPr>
        <w:tab/>
      </w:r>
      <w:r w:rsidRPr="003F2043">
        <w:rPr>
          <w:rFonts w:eastAsiaTheme="minorEastAsia"/>
          <w:noProof/>
          <w:szCs w:val="20"/>
        </w:rPr>
        <w:drawing>
          <wp:inline distT="0" distB="0" distL="0" distR="0" wp14:anchorId="0D93220D" wp14:editId="608E13D4">
            <wp:extent cx="1800225" cy="942975"/>
            <wp:effectExtent l="0" t="0" r="0" b="0"/>
            <wp:docPr id="852966797" name="Image 1" descr="Uni.H.A final achat cooperatif des hôpitaux publi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tretch>
                      <a:fillRect/>
                    </a:stretch>
                  </pic:blipFill>
                  <pic:spPr>
                    <a:xfrm>
                      <a:off x="0" y="0"/>
                      <a:ext cx="1800225" cy="942975"/>
                    </a:xfrm>
                    <a:prstGeom prst="rect">
                      <a:avLst/>
                    </a:prstGeom>
                  </pic:spPr>
                </pic:pic>
              </a:graphicData>
            </a:graphic>
          </wp:inline>
        </w:drawing>
      </w:r>
    </w:p>
    <w:p w14:paraId="3293CA45" w14:textId="77777777" w:rsidR="00305BD5" w:rsidRDefault="00305BD5" w:rsidP="00305BD5">
      <w:pPr>
        <w:tabs>
          <w:tab w:val="left" w:pos="3617"/>
        </w:tabs>
        <w:spacing w:after="0" w:line="240" w:lineRule="auto"/>
        <w:ind w:right="-1085"/>
        <w:rPr>
          <w:rFonts w:ascii="Calibri" w:hAnsi="Calibri"/>
          <w:color w:val="002060"/>
          <w:sz w:val="40"/>
          <w:szCs w:val="40"/>
        </w:rPr>
      </w:pPr>
    </w:p>
    <w:p w14:paraId="608BE77E" w14:textId="34C988D9" w:rsidR="00EE447B" w:rsidRPr="00EE447B" w:rsidRDefault="00EE447B" w:rsidP="00305BD5">
      <w:pPr>
        <w:tabs>
          <w:tab w:val="left" w:pos="3617"/>
        </w:tabs>
        <w:spacing w:after="0" w:line="240" w:lineRule="auto"/>
        <w:ind w:right="-1085"/>
        <w:rPr>
          <w:rFonts w:ascii="Calibri" w:hAnsi="Calibri"/>
          <w:color w:val="002060"/>
          <w:sz w:val="40"/>
          <w:szCs w:val="40"/>
        </w:rPr>
      </w:pPr>
      <w:r w:rsidRPr="00EE447B">
        <w:rPr>
          <w:rFonts w:ascii="Calibri" w:hAnsi="Calibri"/>
          <w:color w:val="002060"/>
          <w:sz w:val="40"/>
          <w:szCs w:val="40"/>
        </w:rPr>
        <w:t xml:space="preserve">ANNEXE </w:t>
      </w:r>
      <w:r>
        <w:rPr>
          <w:rFonts w:ascii="Calibri" w:hAnsi="Calibri"/>
          <w:color w:val="002060"/>
          <w:sz w:val="40"/>
          <w:szCs w:val="40"/>
        </w:rPr>
        <w:t>2</w:t>
      </w:r>
      <w:r w:rsidRPr="00EE447B">
        <w:rPr>
          <w:rFonts w:ascii="Calibri" w:hAnsi="Calibri"/>
          <w:color w:val="002060"/>
          <w:sz w:val="40"/>
          <w:szCs w:val="40"/>
        </w:rPr>
        <w:t xml:space="preserve"> AU REGLEMENT DE LA CONSULTATION</w:t>
      </w:r>
    </w:p>
    <w:p w14:paraId="57E05B0F" w14:textId="0BA3E263" w:rsidR="00EE447B" w:rsidRPr="00EE447B" w:rsidRDefault="00EE447B" w:rsidP="00EE447B">
      <w:pPr>
        <w:spacing w:after="0" w:line="240" w:lineRule="auto"/>
        <w:ind w:left="0" w:right="-1085" w:firstLine="0"/>
        <w:jc w:val="center"/>
        <w:rPr>
          <w:rFonts w:ascii="Calibri" w:hAnsi="Calibri"/>
          <w:color w:val="002060"/>
          <w:sz w:val="40"/>
          <w:szCs w:val="40"/>
        </w:rPr>
      </w:pPr>
      <w:r>
        <w:rPr>
          <w:rFonts w:ascii="Calibri" w:hAnsi="Calibri"/>
          <w:color w:val="002060"/>
          <w:sz w:val="40"/>
          <w:szCs w:val="40"/>
        </w:rPr>
        <w:t>NOTICE EXPLICATIVE</w:t>
      </w:r>
    </w:p>
    <w:p w14:paraId="55123FE4" w14:textId="77777777" w:rsidR="00EE447B" w:rsidRPr="00EE447B" w:rsidRDefault="00EE447B" w:rsidP="00EE447B">
      <w:pPr>
        <w:spacing w:after="0" w:line="240" w:lineRule="auto"/>
        <w:ind w:left="0" w:firstLine="0"/>
        <w:jc w:val="center"/>
        <w:rPr>
          <w:rFonts w:ascii="Calibri" w:hAnsi="Calibri"/>
          <w:color w:val="auto"/>
          <w:sz w:val="24"/>
          <w:szCs w:val="24"/>
        </w:rPr>
      </w:pPr>
    </w:p>
    <w:p w14:paraId="3829E7D1" w14:textId="77777777" w:rsidR="00EE447B" w:rsidRPr="00EE447B" w:rsidRDefault="00EE447B" w:rsidP="00EE447B">
      <w:pPr>
        <w:spacing w:after="0" w:line="240" w:lineRule="auto"/>
        <w:ind w:left="0" w:firstLine="0"/>
        <w:jc w:val="center"/>
        <w:rPr>
          <w:rFonts w:ascii="Calibri" w:hAnsi="Calibri"/>
          <w:color w:val="auto"/>
          <w:sz w:val="24"/>
          <w:szCs w:val="24"/>
        </w:rPr>
      </w:pPr>
    </w:p>
    <w:p w14:paraId="3AAF1C89" w14:textId="77777777" w:rsidR="00EE447B" w:rsidRPr="00EE447B" w:rsidRDefault="00EE447B" w:rsidP="00EE447B">
      <w:pPr>
        <w:spacing w:after="0" w:line="240" w:lineRule="auto"/>
        <w:ind w:left="0" w:firstLine="0"/>
        <w:jc w:val="center"/>
        <w:rPr>
          <w:rFonts w:ascii="Calibri" w:hAnsi="Calibri"/>
          <w:color w:val="auto"/>
          <w:sz w:val="24"/>
          <w:szCs w:val="24"/>
        </w:rPr>
      </w:pPr>
    </w:p>
    <w:p w14:paraId="6AE684EA" w14:textId="28729DB1" w:rsidR="00EE447B" w:rsidRPr="00EE447B" w:rsidRDefault="00EE447B" w:rsidP="00EE447B">
      <w:pPr>
        <w:spacing w:after="0" w:line="240" w:lineRule="auto"/>
        <w:ind w:left="-567" w:firstLine="0"/>
        <w:jc w:val="center"/>
        <w:rPr>
          <w:rFonts w:ascii="Calibri" w:hAnsi="Calibri"/>
          <w:b/>
          <w:color w:val="auto"/>
          <w:sz w:val="24"/>
          <w:szCs w:val="24"/>
        </w:rPr>
      </w:pPr>
      <w:bookmarkStart w:id="1" w:name="_Hlk18063562"/>
      <w:r w:rsidRPr="00EE447B">
        <w:rPr>
          <w:rFonts w:ascii="Calibri" w:hAnsi="Calibri"/>
          <w:b/>
          <w:noProof/>
          <w:color w:val="auto"/>
          <w:sz w:val="24"/>
          <w:szCs w:val="24"/>
        </w:rPr>
        <w:t>MARCHE PUBLIC</w:t>
      </w:r>
    </w:p>
    <w:bookmarkEnd w:id="1"/>
    <w:p w14:paraId="2885FA59" w14:textId="77777777" w:rsidR="00EE447B" w:rsidRPr="00EE447B" w:rsidRDefault="00EE447B" w:rsidP="00EE447B">
      <w:pPr>
        <w:spacing w:after="0" w:line="240" w:lineRule="auto"/>
        <w:ind w:left="0" w:firstLine="0"/>
        <w:jc w:val="left"/>
        <w:rPr>
          <w:rFonts w:ascii="Calibri" w:hAnsi="Calibri"/>
          <w:color w:val="auto"/>
          <w:sz w:val="24"/>
          <w:szCs w:val="24"/>
        </w:rPr>
      </w:pPr>
    </w:p>
    <w:p w14:paraId="36E1ED31" w14:textId="77777777" w:rsidR="00EE447B" w:rsidRPr="00EE447B" w:rsidRDefault="00EE447B" w:rsidP="00EE447B">
      <w:pPr>
        <w:tabs>
          <w:tab w:val="left" w:pos="385"/>
          <w:tab w:val="center" w:pos="4464"/>
          <w:tab w:val="right" w:pos="9354"/>
        </w:tabs>
        <w:spacing w:after="0" w:line="240" w:lineRule="auto"/>
        <w:ind w:left="-426" w:firstLine="0"/>
        <w:jc w:val="left"/>
        <w:rPr>
          <w:rFonts w:ascii="Calibri" w:hAnsi="Calibri"/>
          <w:b/>
          <w:bCs/>
          <w:color w:val="0070C0"/>
          <w:sz w:val="28"/>
          <w:szCs w:val="28"/>
          <w:highlight w:val="yellow"/>
          <w:lang w:eastAsia="en-US"/>
        </w:rPr>
      </w:pPr>
      <w:bookmarkStart w:id="2" w:name="_Hlk18063524"/>
      <w:r w:rsidRPr="00EE447B">
        <w:rPr>
          <w:rFonts w:ascii="Calibri" w:hAnsi="Calibri"/>
          <w:b/>
          <w:color w:val="0070C0"/>
          <w:sz w:val="28"/>
          <w:szCs w:val="28"/>
          <w:lang w:eastAsia="en-US"/>
        </w:rPr>
        <w:tab/>
      </w:r>
      <w:r w:rsidRPr="00EE447B">
        <w:rPr>
          <w:rFonts w:ascii="Calibri" w:hAnsi="Calibri"/>
          <w:b/>
          <w:color w:val="0070C0"/>
          <w:sz w:val="28"/>
          <w:szCs w:val="28"/>
          <w:lang w:eastAsia="en-US"/>
        </w:rPr>
        <w:tab/>
      </w:r>
      <w:r w:rsidRPr="00EE447B">
        <w:rPr>
          <w:rFonts w:ascii="Calibri" w:hAnsi="Calibri"/>
          <w:b/>
          <w:bCs/>
          <w:color w:val="0070C0"/>
          <w:sz w:val="28"/>
          <w:szCs w:val="28"/>
          <w:lang w:eastAsia="en-US"/>
        </w:rPr>
        <w:t>Procédure M_3203</w:t>
      </w:r>
    </w:p>
    <w:p w14:paraId="145547DF" w14:textId="77777777" w:rsidR="00EE447B" w:rsidRPr="00EE447B" w:rsidRDefault="00EE447B" w:rsidP="00EE447B">
      <w:pPr>
        <w:tabs>
          <w:tab w:val="left" w:pos="385"/>
          <w:tab w:val="center" w:pos="4464"/>
          <w:tab w:val="right" w:pos="9354"/>
        </w:tabs>
        <w:spacing w:after="0" w:line="240" w:lineRule="auto"/>
        <w:ind w:left="-426" w:firstLine="0"/>
        <w:jc w:val="left"/>
        <w:rPr>
          <w:rFonts w:ascii="Calibri" w:hAnsi="Calibri"/>
          <w:b/>
          <w:color w:val="0070C0"/>
          <w:sz w:val="28"/>
          <w:szCs w:val="28"/>
          <w:lang w:eastAsia="en-US"/>
        </w:rPr>
      </w:pPr>
    </w:p>
    <w:p w14:paraId="26B2EC09" w14:textId="77777777" w:rsidR="00EE447B" w:rsidRPr="00EE447B" w:rsidRDefault="00EE447B" w:rsidP="00EE447B">
      <w:pPr>
        <w:tabs>
          <w:tab w:val="left" w:pos="385"/>
          <w:tab w:val="center" w:pos="4464"/>
          <w:tab w:val="right" w:pos="9354"/>
        </w:tabs>
        <w:spacing w:after="0" w:line="240" w:lineRule="auto"/>
        <w:ind w:left="-426" w:firstLine="0"/>
        <w:jc w:val="left"/>
        <w:rPr>
          <w:rFonts w:ascii="Calibri" w:hAnsi="Calibri"/>
          <w:b/>
          <w:color w:val="0070C0"/>
          <w:sz w:val="28"/>
          <w:szCs w:val="28"/>
          <w:lang w:eastAsia="en-US"/>
        </w:rPr>
      </w:pPr>
    </w:p>
    <w:bookmarkEnd w:id="2"/>
    <w:p w14:paraId="3915EDB0" w14:textId="77777777" w:rsidR="00EE447B" w:rsidRPr="00EE447B" w:rsidRDefault="00EE447B" w:rsidP="00EE447B">
      <w:pPr>
        <w:pBdr>
          <w:top w:val="single" w:sz="4" w:space="1" w:color="auto"/>
          <w:left w:val="single" w:sz="4" w:space="4" w:color="auto"/>
          <w:bottom w:val="single" w:sz="4" w:space="1" w:color="auto"/>
          <w:right w:val="single" w:sz="4" w:space="4" w:color="auto"/>
        </w:pBdr>
        <w:tabs>
          <w:tab w:val="left" w:pos="385"/>
        </w:tabs>
        <w:spacing w:after="0" w:line="240" w:lineRule="auto"/>
        <w:ind w:left="-426" w:firstLine="0"/>
        <w:jc w:val="left"/>
        <w:rPr>
          <w:rFonts w:ascii="Calibri" w:hAnsi="Calibri"/>
          <w:bCs/>
          <w:color w:val="auto"/>
          <w:sz w:val="22"/>
          <w:szCs w:val="20"/>
          <w:lang w:eastAsia="en-US"/>
        </w:rPr>
      </w:pPr>
      <w:r w:rsidRPr="00EE447B">
        <w:rPr>
          <w:rFonts w:ascii="Calibri" w:hAnsi="Calibri"/>
          <w:b/>
          <w:bCs/>
          <w:color w:val="auto"/>
          <w:sz w:val="22"/>
          <w:szCs w:val="20"/>
          <w:u w:val="single"/>
          <w:lang w:eastAsia="en-US"/>
        </w:rPr>
        <w:t>Pouvoir adjudicateur</w:t>
      </w:r>
      <w:r w:rsidRPr="00EE447B">
        <w:rPr>
          <w:rFonts w:ascii="Calibri" w:hAnsi="Calibri"/>
          <w:bCs/>
          <w:color w:val="auto"/>
          <w:sz w:val="22"/>
          <w:szCs w:val="20"/>
          <w:lang w:eastAsia="en-US"/>
        </w:rPr>
        <w:t xml:space="preserve"> : </w:t>
      </w:r>
      <w:bookmarkStart w:id="3" w:name="_Hlk187393577"/>
      <w:r w:rsidRPr="00EE447B">
        <w:rPr>
          <w:rFonts w:ascii="Calibri" w:hAnsi="Calibri"/>
          <w:bCs/>
          <w:color w:val="auto"/>
          <w:sz w:val="22"/>
          <w:szCs w:val="20"/>
          <w:lang w:eastAsia="en-US"/>
        </w:rPr>
        <w:t>GCS UNIHA – 83 boulevard Marius Vivier Merle – 69003 LYON</w:t>
      </w:r>
    </w:p>
    <w:bookmarkEnd w:id="3"/>
    <w:p w14:paraId="194C394E" w14:textId="0E66E1BD" w:rsidR="00EE447B" w:rsidRPr="00EE447B" w:rsidRDefault="00EE447B" w:rsidP="00EE447B">
      <w:pPr>
        <w:pBdr>
          <w:top w:val="single" w:sz="4" w:space="1" w:color="auto"/>
          <w:left w:val="single" w:sz="4" w:space="4" w:color="auto"/>
          <w:bottom w:val="single" w:sz="4" w:space="1" w:color="auto"/>
          <w:right w:val="single" w:sz="4" w:space="4" w:color="auto"/>
        </w:pBdr>
        <w:spacing w:after="0" w:line="240" w:lineRule="auto"/>
        <w:ind w:left="-426" w:firstLine="0"/>
        <w:rPr>
          <w:rFonts w:ascii="Calibri" w:eastAsia="Trebuchet MS" w:hAnsi="Calibri" w:cs="Calibri"/>
          <w:sz w:val="22"/>
          <w:lang w:eastAsia="en-US"/>
        </w:rPr>
      </w:pPr>
      <w:r w:rsidRPr="00EE447B">
        <w:rPr>
          <w:rFonts w:ascii="Calibri" w:hAnsi="Calibri"/>
          <w:b/>
          <w:bCs/>
          <w:color w:val="auto"/>
          <w:sz w:val="22"/>
          <w:u w:val="single"/>
          <w:lang w:eastAsia="en-US"/>
        </w:rPr>
        <w:t>Objet du marché</w:t>
      </w:r>
      <w:r w:rsidRPr="00EE447B">
        <w:rPr>
          <w:rFonts w:ascii="Calibri" w:hAnsi="Calibri"/>
          <w:b/>
          <w:bCs/>
          <w:color w:val="auto"/>
          <w:sz w:val="22"/>
          <w:lang w:eastAsia="en-US"/>
        </w:rPr>
        <w:t xml:space="preserve"> : </w:t>
      </w:r>
      <w:bookmarkStart w:id="4" w:name="_Hlk213922817"/>
      <w:r w:rsidRPr="00EE447B">
        <w:rPr>
          <w:rFonts w:ascii="Calibri" w:eastAsia="Trebuchet MS" w:hAnsi="Calibri" w:cs="Calibri"/>
          <w:sz w:val="22"/>
          <w:lang w:eastAsia="en-US"/>
        </w:rPr>
        <w:t>Transport</w:t>
      </w:r>
      <w:r w:rsidR="00D92052">
        <w:rPr>
          <w:rFonts w:ascii="Calibri" w:eastAsia="Trebuchet MS" w:hAnsi="Calibri" w:cs="Calibri"/>
          <w:sz w:val="22"/>
          <w:lang w:eastAsia="en-US"/>
        </w:rPr>
        <w:t>s</w:t>
      </w:r>
      <w:r w:rsidRPr="00EE447B">
        <w:rPr>
          <w:rFonts w:ascii="Calibri" w:eastAsia="Trebuchet MS" w:hAnsi="Calibri" w:cs="Calibri"/>
          <w:sz w:val="22"/>
          <w:lang w:eastAsia="en-US"/>
        </w:rPr>
        <w:t xml:space="preserve"> express nationaux et internationaux de colis secs et à température dirigée et contrôlée, fourniture de consommables et prestations associées</w:t>
      </w:r>
      <w:bookmarkEnd w:id="4"/>
    </w:p>
    <w:p w14:paraId="1C3F19F0" w14:textId="77777777" w:rsidR="00EE447B" w:rsidRPr="00EE447B" w:rsidRDefault="00EE447B" w:rsidP="00EE447B">
      <w:pPr>
        <w:pBdr>
          <w:top w:val="single" w:sz="4" w:space="1" w:color="auto"/>
          <w:left w:val="single" w:sz="4" w:space="4" w:color="auto"/>
          <w:bottom w:val="single" w:sz="4" w:space="1" w:color="auto"/>
          <w:right w:val="single" w:sz="4" w:space="4" w:color="auto"/>
        </w:pBdr>
        <w:spacing w:after="0" w:line="240" w:lineRule="auto"/>
        <w:ind w:left="-426" w:firstLine="0"/>
        <w:rPr>
          <w:rFonts w:ascii="Calibri" w:hAnsi="Calibri"/>
          <w:color w:val="auto"/>
          <w:sz w:val="22"/>
          <w:szCs w:val="20"/>
          <w:lang w:eastAsia="en-US"/>
        </w:rPr>
      </w:pPr>
      <w:r w:rsidRPr="00EE447B">
        <w:rPr>
          <w:rFonts w:ascii="Calibri" w:hAnsi="Calibri"/>
          <w:b/>
          <w:bCs/>
          <w:color w:val="auto"/>
          <w:sz w:val="22"/>
          <w:szCs w:val="20"/>
          <w:u w:val="single"/>
          <w:lang w:eastAsia="en-US"/>
        </w:rPr>
        <w:t>Procédure</w:t>
      </w:r>
      <w:r w:rsidRPr="00EE447B">
        <w:rPr>
          <w:rFonts w:ascii="Calibri" w:hAnsi="Calibri"/>
          <w:bCs/>
          <w:color w:val="auto"/>
          <w:sz w:val="22"/>
          <w:szCs w:val="20"/>
          <w:lang w:eastAsia="en-US"/>
        </w:rPr>
        <w:t xml:space="preserve"> : </w:t>
      </w:r>
      <w:r w:rsidRPr="00EE447B">
        <w:rPr>
          <w:rFonts w:ascii="Calibri" w:hAnsi="Calibri"/>
          <w:color w:val="auto"/>
          <w:sz w:val="22"/>
          <w:szCs w:val="20"/>
          <w:lang w:eastAsia="en-US"/>
        </w:rPr>
        <w:t>Appel d’offres ouvert (articles L.2124-2, R.2124-2, R.2161-2 à R.2161-5 du Code de la commande publique)</w:t>
      </w:r>
    </w:p>
    <w:p w14:paraId="3BD2D34C" w14:textId="77777777" w:rsidR="00EE447B" w:rsidRPr="00EE447B" w:rsidRDefault="00EE447B" w:rsidP="00EE447B">
      <w:pPr>
        <w:pBdr>
          <w:top w:val="single" w:sz="4" w:space="1" w:color="auto"/>
          <w:left w:val="single" w:sz="4" w:space="4" w:color="auto"/>
          <w:bottom w:val="single" w:sz="4" w:space="1" w:color="auto"/>
          <w:right w:val="single" w:sz="4" w:space="4" w:color="auto"/>
        </w:pBdr>
        <w:spacing w:after="0" w:line="240" w:lineRule="auto"/>
        <w:ind w:left="-426" w:firstLine="0"/>
        <w:rPr>
          <w:rFonts w:ascii="Calibri" w:hAnsi="Calibri"/>
          <w:color w:val="auto"/>
          <w:sz w:val="22"/>
          <w:szCs w:val="20"/>
          <w:lang w:eastAsia="en-US"/>
        </w:rPr>
      </w:pPr>
      <w:r w:rsidRPr="00EE447B">
        <w:rPr>
          <w:rFonts w:ascii="Calibri" w:hAnsi="Calibri"/>
          <w:b/>
          <w:bCs/>
          <w:color w:val="auto"/>
          <w:sz w:val="22"/>
          <w:szCs w:val="20"/>
          <w:u w:val="single"/>
          <w:lang w:eastAsia="en-US"/>
        </w:rPr>
        <w:t>Technique d’achat </w:t>
      </w:r>
      <w:r w:rsidRPr="00EE447B">
        <w:rPr>
          <w:rFonts w:ascii="Calibri" w:hAnsi="Calibri"/>
          <w:color w:val="auto"/>
          <w:sz w:val="22"/>
          <w:szCs w:val="20"/>
          <w:lang w:eastAsia="en-US"/>
        </w:rPr>
        <w:t xml:space="preserve">: </w:t>
      </w:r>
      <w:r w:rsidRPr="00EE447B">
        <w:rPr>
          <w:rFonts w:asciiTheme="minorHAnsi" w:eastAsiaTheme="minorEastAsia" w:hAnsiTheme="minorHAnsi" w:cstheme="minorBidi"/>
          <w:bCs/>
          <w:color w:val="auto"/>
          <w:sz w:val="22"/>
          <w:szCs w:val="20"/>
          <w:lang w:eastAsia="en-US"/>
        </w:rPr>
        <w:t>Accord-cadre à bons de commandes</w:t>
      </w:r>
      <w:r w:rsidRPr="00EE447B" w:rsidDel="00BC4843">
        <w:rPr>
          <w:rFonts w:asciiTheme="minorHAnsi" w:eastAsiaTheme="minorEastAsia" w:hAnsiTheme="minorHAnsi" w:cstheme="minorBidi"/>
          <w:bCs/>
          <w:color w:val="auto"/>
          <w:sz w:val="22"/>
          <w:szCs w:val="20"/>
          <w:lang w:eastAsia="en-US"/>
        </w:rPr>
        <w:t xml:space="preserve"> </w:t>
      </w:r>
      <w:r w:rsidRPr="00EE447B">
        <w:rPr>
          <w:rFonts w:asciiTheme="minorHAnsi" w:eastAsiaTheme="minorEastAsia" w:hAnsiTheme="minorHAnsi" w:cstheme="minorBidi"/>
          <w:bCs/>
          <w:color w:val="auto"/>
          <w:sz w:val="22"/>
          <w:szCs w:val="20"/>
          <w:lang w:eastAsia="en-US"/>
        </w:rPr>
        <w:t xml:space="preserve"> </w:t>
      </w:r>
    </w:p>
    <w:p w14:paraId="789BD17D" w14:textId="77777777" w:rsidR="00EE447B" w:rsidRDefault="00EE447B">
      <w:pPr>
        <w:spacing w:after="160" w:line="259" w:lineRule="auto"/>
        <w:ind w:left="0" w:firstLine="0"/>
        <w:jc w:val="left"/>
        <w:rPr>
          <w:rFonts w:asciiTheme="minorHAnsi" w:eastAsiaTheme="minorHAnsi" w:hAnsiTheme="minorHAnsi" w:cstheme="minorBidi"/>
          <w:b/>
          <w:color w:val="auto"/>
          <w:sz w:val="28"/>
          <w:szCs w:val="28"/>
          <w:lang w:eastAsia="en-US"/>
        </w:rPr>
      </w:pPr>
    </w:p>
    <w:p w14:paraId="6C0CCF0A" w14:textId="77777777" w:rsidR="00EE447B" w:rsidRDefault="00EE447B">
      <w:pPr>
        <w:spacing w:after="160" w:line="259" w:lineRule="auto"/>
        <w:ind w:left="0" w:firstLine="0"/>
        <w:jc w:val="left"/>
        <w:rPr>
          <w:rFonts w:asciiTheme="minorHAnsi" w:eastAsiaTheme="minorHAnsi" w:hAnsiTheme="minorHAnsi" w:cstheme="minorBidi"/>
          <w:b/>
          <w:color w:val="auto"/>
          <w:sz w:val="28"/>
          <w:szCs w:val="28"/>
          <w:lang w:eastAsia="en-US"/>
        </w:rPr>
      </w:pPr>
      <w:r>
        <w:rPr>
          <w:b/>
          <w:sz w:val="28"/>
          <w:szCs w:val="28"/>
        </w:rPr>
        <w:br w:type="page"/>
      </w:r>
    </w:p>
    <w:p w14:paraId="76122A01" w14:textId="54BCDA3A" w:rsidR="00A04095" w:rsidRPr="00221003" w:rsidRDefault="00F62562" w:rsidP="00D41086">
      <w:pPr>
        <w:pStyle w:val="Sansinterligne"/>
        <w:jc w:val="center"/>
        <w:rPr>
          <w:b/>
          <w:sz w:val="28"/>
          <w:szCs w:val="28"/>
        </w:rPr>
      </w:pPr>
      <w:r w:rsidRPr="00221003">
        <w:rPr>
          <w:b/>
          <w:sz w:val="28"/>
          <w:szCs w:val="28"/>
        </w:rPr>
        <w:lastRenderedPageBreak/>
        <w:t>Notice explicative</w:t>
      </w:r>
    </w:p>
    <w:p w14:paraId="31E25AC8" w14:textId="77777777" w:rsidR="00F62562" w:rsidRPr="00F62562" w:rsidRDefault="00F62562" w:rsidP="00F62562">
      <w:pPr>
        <w:pStyle w:val="Sansinterligne"/>
        <w:jc w:val="center"/>
        <w:rPr>
          <w:b/>
          <w:u w:val="single"/>
        </w:rPr>
      </w:pPr>
    </w:p>
    <w:p w14:paraId="53C16C38" w14:textId="77777777" w:rsidR="00F62562" w:rsidRPr="00221003" w:rsidRDefault="00C60413" w:rsidP="00F62562">
      <w:pPr>
        <w:pStyle w:val="Sansinterligne"/>
        <w:jc w:val="center"/>
        <w:rPr>
          <w:color w:val="002060"/>
          <w:sz w:val="28"/>
          <w:szCs w:val="28"/>
        </w:rPr>
      </w:pPr>
      <w:r>
        <w:rPr>
          <w:b/>
          <w:color w:val="002060"/>
          <w:sz w:val="28"/>
          <w:szCs w:val="28"/>
          <w:u w:val="single"/>
        </w:rPr>
        <w:t>Comment signer un acte d’engagement ou un avenant ?</w:t>
      </w:r>
    </w:p>
    <w:p w14:paraId="3E6177B6" w14:textId="77777777" w:rsidR="00221003" w:rsidRDefault="00221003" w:rsidP="00F62562">
      <w:pPr>
        <w:pStyle w:val="Sansinterligne"/>
      </w:pPr>
    </w:p>
    <w:p w14:paraId="3C3A5304" w14:textId="77777777" w:rsidR="00C60413" w:rsidRDefault="00C60413" w:rsidP="00782BC8">
      <w:pPr>
        <w:pStyle w:val="Sansinterligne"/>
        <w:jc w:val="both"/>
      </w:pPr>
    </w:p>
    <w:p w14:paraId="248F8863" w14:textId="77777777" w:rsidR="00C60413" w:rsidRPr="00C60413" w:rsidRDefault="006A68C6" w:rsidP="00C60413">
      <w:pPr>
        <w:pStyle w:val="Sansinterligne"/>
        <w:numPr>
          <w:ilvl w:val="0"/>
          <w:numId w:val="7"/>
        </w:numPr>
        <w:jc w:val="both"/>
        <w:rPr>
          <w:b/>
          <w:u w:val="single"/>
        </w:rPr>
      </w:pPr>
      <w:r>
        <w:rPr>
          <w:b/>
          <w:u w:val="single"/>
        </w:rPr>
        <w:t>Quelles formes de signature peut-on utiliser pour signer un acte d’engagement ou un avenant ?</w:t>
      </w:r>
    </w:p>
    <w:p w14:paraId="316FFFD4" w14:textId="77777777" w:rsidR="00C60413" w:rsidRDefault="00C60413" w:rsidP="00782BC8">
      <w:pPr>
        <w:pStyle w:val="Sansinterligne"/>
        <w:jc w:val="both"/>
      </w:pPr>
    </w:p>
    <w:p w14:paraId="30B634E5" w14:textId="77777777" w:rsidR="00C60413" w:rsidRDefault="00C60413" w:rsidP="00782BC8">
      <w:pPr>
        <w:pStyle w:val="Sansinterligne"/>
        <w:jc w:val="both"/>
      </w:pPr>
      <w:r>
        <w:t xml:space="preserve">Un acte d’engagement ou un avenant peut être signé de deux manières : </w:t>
      </w:r>
    </w:p>
    <w:p w14:paraId="5917F69A" w14:textId="77777777" w:rsidR="00C60413" w:rsidRDefault="00C60413" w:rsidP="00782BC8">
      <w:pPr>
        <w:pStyle w:val="Sansinterligne"/>
        <w:jc w:val="both"/>
      </w:pPr>
    </w:p>
    <w:p w14:paraId="075C61BE" w14:textId="77777777" w:rsidR="00C60413" w:rsidRDefault="00C60413" w:rsidP="00C60413">
      <w:pPr>
        <w:pStyle w:val="Sansinterligne"/>
        <w:numPr>
          <w:ilvl w:val="0"/>
          <w:numId w:val="8"/>
        </w:numPr>
        <w:jc w:val="both"/>
      </w:pPr>
      <w:r>
        <w:t xml:space="preserve">Soit électroniquement (fortement recommandé) ; </w:t>
      </w:r>
    </w:p>
    <w:p w14:paraId="7E1E69CC" w14:textId="77777777" w:rsidR="00C60413" w:rsidRDefault="00C60413" w:rsidP="00C60413">
      <w:pPr>
        <w:pStyle w:val="Sansinterligne"/>
        <w:ind w:left="720"/>
        <w:jc w:val="both"/>
      </w:pPr>
    </w:p>
    <w:p w14:paraId="6FCDA4A7" w14:textId="77777777" w:rsidR="00C60413" w:rsidRDefault="00C60413" w:rsidP="00C60413">
      <w:pPr>
        <w:pStyle w:val="Sansinterligne"/>
        <w:numPr>
          <w:ilvl w:val="0"/>
          <w:numId w:val="8"/>
        </w:numPr>
        <w:jc w:val="both"/>
      </w:pPr>
      <w:r>
        <w:t xml:space="preserve">Soit manuellement </w:t>
      </w:r>
    </w:p>
    <w:p w14:paraId="3F328A16" w14:textId="77777777" w:rsidR="006A68C6" w:rsidRDefault="006A68C6" w:rsidP="006A68C6">
      <w:pPr>
        <w:pStyle w:val="Sansinterligne"/>
        <w:jc w:val="both"/>
      </w:pPr>
    </w:p>
    <w:p w14:paraId="10E84BBB" w14:textId="77777777" w:rsidR="006A68C6" w:rsidRPr="006A68C6" w:rsidRDefault="006A68C6" w:rsidP="006A68C6">
      <w:pPr>
        <w:pStyle w:val="Sansinterligne"/>
        <w:numPr>
          <w:ilvl w:val="0"/>
          <w:numId w:val="7"/>
        </w:numPr>
        <w:jc w:val="both"/>
        <w:rPr>
          <w:b/>
          <w:u w:val="single"/>
        </w:rPr>
      </w:pPr>
      <w:r>
        <w:rPr>
          <w:b/>
          <w:u w:val="single"/>
        </w:rPr>
        <w:t>Toutes les s</w:t>
      </w:r>
      <w:r w:rsidRPr="006A68C6">
        <w:rPr>
          <w:b/>
          <w:u w:val="single"/>
        </w:rPr>
        <w:t>ignature</w:t>
      </w:r>
      <w:r>
        <w:rPr>
          <w:b/>
          <w:u w:val="single"/>
        </w:rPr>
        <w:t>s</w:t>
      </w:r>
      <w:r w:rsidRPr="006A68C6">
        <w:rPr>
          <w:b/>
          <w:u w:val="single"/>
        </w:rPr>
        <w:t xml:space="preserve"> électronique</w:t>
      </w:r>
      <w:r>
        <w:rPr>
          <w:b/>
          <w:u w:val="single"/>
        </w:rPr>
        <w:t xml:space="preserve">s sont-elles valides ? </w:t>
      </w:r>
    </w:p>
    <w:p w14:paraId="3AAE0154" w14:textId="77777777" w:rsidR="006A68C6" w:rsidRDefault="006A68C6" w:rsidP="006A68C6">
      <w:pPr>
        <w:pStyle w:val="Sansinterligne"/>
        <w:jc w:val="both"/>
      </w:pPr>
    </w:p>
    <w:p w14:paraId="4075B66D" w14:textId="77777777" w:rsidR="00002ED4" w:rsidRDefault="00002ED4" w:rsidP="000565C0">
      <w:pPr>
        <w:pStyle w:val="Sansinterligne"/>
        <w:jc w:val="both"/>
      </w:pPr>
      <w:r>
        <w:t xml:space="preserve">Non, toutes les signatures électroniques ne sont pas valides. Les contrats de la commande publique doivent être signés, s’ils sont signés avec une signature électronique, </w:t>
      </w:r>
      <w:r w:rsidR="00602F60">
        <w:t>avec un certain type de signature électronique.</w:t>
      </w:r>
    </w:p>
    <w:p w14:paraId="7EE4554D" w14:textId="77777777" w:rsidR="00002ED4" w:rsidRDefault="00002ED4" w:rsidP="000565C0">
      <w:pPr>
        <w:pStyle w:val="Sansinterligne"/>
        <w:jc w:val="both"/>
      </w:pPr>
    </w:p>
    <w:p w14:paraId="18A965C8" w14:textId="77777777" w:rsidR="000565C0" w:rsidRDefault="00061690" w:rsidP="000565C0">
      <w:pPr>
        <w:pStyle w:val="Sansinterligne"/>
        <w:jc w:val="both"/>
      </w:pPr>
      <w:r>
        <w:t>L</w:t>
      </w:r>
      <w:r w:rsidR="000565C0">
        <w:t xml:space="preserve">a signature électronique utilisée </w:t>
      </w:r>
      <w:r w:rsidR="000565C0" w:rsidRPr="00847F10">
        <w:t>doit être conforme au règlement n°910/2014 du Parlement Européen et du Conseil du 23 juillet 2014 sur l’identification électronique et les services de confiance pour les transactions électroniques au sein du marché intérieur (règlement eIDAS).</w:t>
      </w:r>
    </w:p>
    <w:p w14:paraId="35B27868" w14:textId="77777777" w:rsidR="000565C0" w:rsidRDefault="000565C0" w:rsidP="000565C0">
      <w:pPr>
        <w:pStyle w:val="Sansinterligne"/>
        <w:jc w:val="both"/>
      </w:pPr>
    </w:p>
    <w:p w14:paraId="1AC203F4" w14:textId="77777777" w:rsidR="000565C0" w:rsidRDefault="000565C0" w:rsidP="000565C0">
      <w:pPr>
        <w:pStyle w:val="Sansinterligne"/>
        <w:jc w:val="both"/>
      </w:pPr>
      <w:r>
        <w:t>Le Code de la commande publique prévoit à l’article R.2182-3 du Code de la commande publique que « </w:t>
      </w:r>
      <w:r w:rsidRPr="000565C0">
        <w:rPr>
          <w:i/>
        </w:rPr>
        <w:t>Le marché peut être signé électroniquement, selon les modalités fixées par un arrêté du ministre chargé de l'économie qui figure en annexe du présent code ».</w:t>
      </w:r>
      <w:r>
        <w:t> »</w:t>
      </w:r>
    </w:p>
    <w:p w14:paraId="201E56C6" w14:textId="77777777" w:rsidR="000565C0" w:rsidRDefault="000565C0" w:rsidP="000565C0">
      <w:pPr>
        <w:pStyle w:val="Sansinterligne"/>
        <w:jc w:val="both"/>
      </w:pPr>
    </w:p>
    <w:p w14:paraId="46F3A712" w14:textId="77777777" w:rsidR="000565C0" w:rsidRPr="00847F10" w:rsidRDefault="000565C0" w:rsidP="000565C0">
      <w:pPr>
        <w:pStyle w:val="Sansinterligne"/>
        <w:jc w:val="both"/>
      </w:pPr>
      <w:r w:rsidRPr="00847F10">
        <w:t xml:space="preserve">Les modalités de la signature électronique sont prévues par </w:t>
      </w:r>
      <w:r w:rsidRPr="00847F10">
        <w:rPr>
          <w:b/>
        </w:rPr>
        <w:t>l’arrêté du 22 mars 2019 relatif à la signature électronique des contrats de la commande publique</w:t>
      </w:r>
      <w:r w:rsidRPr="00847F10">
        <w:t>.</w:t>
      </w:r>
    </w:p>
    <w:p w14:paraId="0C5D3FC6" w14:textId="77777777" w:rsidR="000565C0" w:rsidRPr="00847F10" w:rsidRDefault="000565C0" w:rsidP="000565C0">
      <w:pPr>
        <w:pStyle w:val="Sansinterligne"/>
        <w:jc w:val="both"/>
      </w:pPr>
    </w:p>
    <w:p w14:paraId="7064476C" w14:textId="77777777" w:rsidR="000565C0" w:rsidRPr="00847F10" w:rsidRDefault="000565C0" w:rsidP="000565C0">
      <w:pPr>
        <w:pStyle w:val="Sansinterligne"/>
        <w:jc w:val="both"/>
      </w:pPr>
      <w:r w:rsidRPr="00847F10">
        <w:t xml:space="preserve">L’article 2 de cet arrêté prévoit que </w:t>
      </w:r>
      <w:r w:rsidRPr="00847F10">
        <w:rPr>
          <w:b/>
          <w:u w:val="single"/>
        </w:rPr>
        <w:t>la signature électronique avancée</w:t>
      </w:r>
      <w:r w:rsidR="00061690">
        <w:rPr>
          <w:b/>
          <w:u w:val="single"/>
          <w:vertAlign w:val="superscript"/>
        </w:rPr>
        <w:t xml:space="preserve"> </w:t>
      </w:r>
      <w:r w:rsidR="00061690" w:rsidRPr="00847F10">
        <w:t xml:space="preserve"> </w:t>
      </w:r>
      <w:r w:rsidRPr="00847F10">
        <w:t xml:space="preserve">(conformément à la définition donnée à l’article 26 du règlement eIDAS) </w:t>
      </w:r>
      <w:r w:rsidRPr="00847F10">
        <w:rPr>
          <w:b/>
          <w:u w:val="single"/>
        </w:rPr>
        <w:t>doit être utilisée</w:t>
      </w:r>
      <w:r w:rsidRPr="00847F10">
        <w:t xml:space="preserve"> et </w:t>
      </w:r>
      <w:r w:rsidRPr="00847F10">
        <w:rPr>
          <w:b/>
          <w:u w:val="single"/>
        </w:rPr>
        <w:t>être accompagnée d’un certificat de signature électronique qualifié</w:t>
      </w:r>
      <w:r w:rsidRPr="00847F10">
        <w:t xml:space="preserve"> (conformément à l’article 28 du règlement eIDAS) a minima.</w:t>
      </w:r>
    </w:p>
    <w:p w14:paraId="5214F8CA" w14:textId="77777777" w:rsidR="000565C0" w:rsidRPr="00847F10" w:rsidRDefault="000565C0" w:rsidP="000565C0">
      <w:pPr>
        <w:pStyle w:val="Sansinterligne"/>
        <w:jc w:val="both"/>
      </w:pPr>
    </w:p>
    <w:bookmarkEnd w:id="0"/>
    <w:p w14:paraId="09992F48" w14:textId="77777777" w:rsidR="00E9199C" w:rsidRDefault="00602F60" w:rsidP="00782BC8">
      <w:pPr>
        <w:pStyle w:val="Sansinterligne"/>
        <w:jc w:val="both"/>
        <w:rPr>
          <w:b/>
          <w:i/>
        </w:rPr>
      </w:pPr>
      <w:r w:rsidRPr="00602F60">
        <w:rPr>
          <w:b/>
          <w:i/>
        </w:rPr>
        <w:t xml:space="preserve">Qu’est-ce qu’une signature électronique </w:t>
      </w:r>
      <w:r w:rsidR="00061690">
        <w:rPr>
          <w:b/>
          <w:i/>
        </w:rPr>
        <w:t>avancé</w:t>
      </w:r>
      <w:r w:rsidRPr="00602F60">
        <w:rPr>
          <w:b/>
          <w:i/>
        </w:rPr>
        <w:t xml:space="preserve">e ? </w:t>
      </w:r>
    </w:p>
    <w:p w14:paraId="54B7A516" w14:textId="77777777" w:rsidR="00602F60" w:rsidRDefault="00602F60" w:rsidP="00782BC8">
      <w:pPr>
        <w:pStyle w:val="Sansinterligne"/>
        <w:jc w:val="both"/>
        <w:rPr>
          <w:b/>
          <w:i/>
        </w:rPr>
      </w:pPr>
    </w:p>
    <w:p w14:paraId="24452538" w14:textId="77777777" w:rsidR="00061690" w:rsidRDefault="00061690" w:rsidP="00061690">
      <w:pPr>
        <w:pStyle w:val="Sansinterligne"/>
        <w:jc w:val="both"/>
      </w:pPr>
      <w:r>
        <w:t xml:space="preserve">Conformément à l’article 26 du règlement eIDAS, une signature électronique avancée répond aux caractéristiques suivantes : </w:t>
      </w:r>
    </w:p>
    <w:p w14:paraId="0BB1A239" w14:textId="77777777" w:rsidR="00061690" w:rsidRPr="00061690" w:rsidRDefault="00061690" w:rsidP="00061690">
      <w:pPr>
        <w:pStyle w:val="Sansinterligne"/>
        <w:jc w:val="both"/>
        <w:rPr>
          <w:i/>
        </w:rPr>
      </w:pPr>
      <w:r>
        <w:t>« </w:t>
      </w:r>
      <w:r w:rsidRPr="00061690">
        <w:rPr>
          <w:i/>
        </w:rPr>
        <w:t>a) être liée au signataire de manière univoque;</w:t>
      </w:r>
    </w:p>
    <w:p w14:paraId="38A9261F" w14:textId="77777777" w:rsidR="00061690" w:rsidRPr="00061690" w:rsidRDefault="00061690" w:rsidP="00061690">
      <w:pPr>
        <w:pStyle w:val="Sansinterligne"/>
        <w:jc w:val="both"/>
        <w:rPr>
          <w:i/>
        </w:rPr>
      </w:pPr>
      <w:r w:rsidRPr="00061690">
        <w:rPr>
          <w:i/>
        </w:rPr>
        <w:t>b) permettre d’identifier le signataire ;</w:t>
      </w:r>
    </w:p>
    <w:p w14:paraId="4C283CB1" w14:textId="77777777" w:rsidR="00061690" w:rsidRPr="00061690" w:rsidRDefault="00061690" w:rsidP="00061690">
      <w:pPr>
        <w:pStyle w:val="Sansinterligne"/>
        <w:jc w:val="both"/>
        <w:rPr>
          <w:i/>
        </w:rPr>
      </w:pPr>
      <w:r w:rsidRPr="00061690">
        <w:rPr>
          <w:i/>
        </w:rPr>
        <w:t>c) avoir été créée à l’aide de données de création de signature électronique que le signataire peut, avec un niveau de confiance élevé, utiliser sous son contrôle exclusif; et</w:t>
      </w:r>
    </w:p>
    <w:p w14:paraId="3EAD2C71" w14:textId="77777777" w:rsidR="00061690" w:rsidRDefault="00061690" w:rsidP="00061690">
      <w:pPr>
        <w:pStyle w:val="Sansinterligne"/>
        <w:jc w:val="both"/>
      </w:pPr>
      <w:r w:rsidRPr="00061690">
        <w:rPr>
          <w:i/>
        </w:rPr>
        <w:t>d) être liée aux données associées à cette signature de telle sorte que toute modification ultérieure des données soit détectable.</w:t>
      </w:r>
      <w:r w:rsidRPr="00061690">
        <w:t> »</w:t>
      </w:r>
    </w:p>
    <w:p w14:paraId="148EB23C" w14:textId="77777777" w:rsidR="00061690" w:rsidRDefault="00061690" w:rsidP="00061690">
      <w:pPr>
        <w:pStyle w:val="Sansinterligne"/>
        <w:jc w:val="both"/>
      </w:pPr>
    </w:p>
    <w:p w14:paraId="415870B4" w14:textId="77777777" w:rsidR="00061690" w:rsidRDefault="00061690" w:rsidP="00061690">
      <w:pPr>
        <w:pStyle w:val="Sansinterligne"/>
        <w:jc w:val="both"/>
      </w:pPr>
    </w:p>
    <w:p w14:paraId="78E8791C" w14:textId="77777777" w:rsidR="00061690" w:rsidRDefault="00061690" w:rsidP="00061690">
      <w:pPr>
        <w:pStyle w:val="Sansinterligne"/>
        <w:jc w:val="both"/>
        <w:rPr>
          <w:b/>
          <w:i/>
        </w:rPr>
      </w:pPr>
      <w:r w:rsidRPr="00061690">
        <w:rPr>
          <w:b/>
          <w:i/>
        </w:rPr>
        <w:t xml:space="preserve">Qu’est-ce qu’un certificat de signature électronique qualifié ? </w:t>
      </w:r>
    </w:p>
    <w:p w14:paraId="097B3191" w14:textId="77777777" w:rsidR="00061690" w:rsidRDefault="00061690" w:rsidP="00061690">
      <w:pPr>
        <w:pStyle w:val="Sansinterligne"/>
        <w:jc w:val="both"/>
        <w:rPr>
          <w:b/>
          <w:i/>
        </w:rPr>
      </w:pPr>
    </w:p>
    <w:p w14:paraId="56294E08" w14:textId="77777777" w:rsidR="00061690" w:rsidRDefault="00061690" w:rsidP="00061690">
      <w:pPr>
        <w:pStyle w:val="Sansinterligne"/>
        <w:jc w:val="both"/>
      </w:pPr>
      <w:r>
        <w:t xml:space="preserve">Conformément à l’article 28 du règlement eIDAS, </w:t>
      </w:r>
    </w:p>
    <w:p w14:paraId="09A37841" w14:textId="77777777" w:rsidR="00061690" w:rsidRDefault="00061690" w:rsidP="00061690">
      <w:pPr>
        <w:pStyle w:val="Sansinterligne"/>
        <w:jc w:val="both"/>
      </w:pPr>
      <w:r>
        <w:t>« 1. Les certificats qualifiés de signature électronique satisfont aux exigences fixées à l’annexe I.</w:t>
      </w:r>
    </w:p>
    <w:p w14:paraId="5F4905F1" w14:textId="77777777" w:rsidR="00061690" w:rsidRDefault="00061690" w:rsidP="00061690">
      <w:pPr>
        <w:pStyle w:val="Sansinterligne"/>
        <w:jc w:val="both"/>
      </w:pPr>
      <w:r>
        <w:lastRenderedPageBreak/>
        <w:t>2. Les certificats qualifiés de signature électronique ne font l’objet d’aucune exigence obligatoire allant au-delà des exigences fixées à l’annexe I.</w:t>
      </w:r>
    </w:p>
    <w:p w14:paraId="0F75CE76" w14:textId="77777777" w:rsidR="00061690" w:rsidRDefault="00061690" w:rsidP="00061690">
      <w:pPr>
        <w:pStyle w:val="Sansinterligne"/>
        <w:jc w:val="both"/>
      </w:pPr>
      <w:r>
        <w:t>3. Les certificats qualifiés de signature électronique peuvent comprendre des attributs spécifiques supplémentaires non obligatoires. Ces attributs n’affectent pas l’interopérabilité et la reconnaissance</w:t>
      </w:r>
    </w:p>
    <w:p w14:paraId="357E4B87" w14:textId="77777777" w:rsidR="00061690" w:rsidRDefault="00061690" w:rsidP="00061690">
      <w:pPr>
        <w:pStyle w:val="Sansinterligne"/>
        <w:jc w:val="both"/>
      </w:pPr>
      <w:r>
        <w:t>des signatures électroniques qualifiées.</w:t>
      </w:r>
    </w:p>
    <w:p w14:paraId="49243888" w14:textId="77777777" w:rsidR="00061690" w:rsidRDefault="00061690" w:rsidP="00061690">
      <w:pPr>
        <w:pStyle w:val="Sansinterligne"/>
        <w:jc w:val="both"/>
      </w:pPr>
      <w:r>
        <w:t>4. Si un certificat qualifié de signature électronique a été révoqué après la première activation, il perd sa validité à compter du moment de sa révocation et il ne peut en aucun cas recouvrer son statut antérieur.</w:t>
      </w:r>
    </w:p>
    <w:p w14:paraId="0D99A5FB" w14:textId="77777777" w:rsidR="00061690" w:rsidRDefault="00061690" w:rsidP="00061690">
      <w:pPr>
        <w:pStyle w:val="Sansinterligne"/>
        <w:jc w:val="both"/>
      </w:pPr>
      <w:r>
        <w:t>5. Sous réserve des conditions suivantes, les États membres peuvent établir des règles nationales relatives à la suspension temporaire d’un certificat qualifié de signature électronique:</w:t>
      </w:r>
    </w:p>
    <w:p w14:paraId="5A81493A" w14:textId="77777777" w:rsidR="00061690" w:rsidRDefault="00061690" w:rsidP="00061690">
      <w:pPr>
        <w:pStyle w:val="Sansinterligne"/>
        <w:jc w:val="both"/>
      </w:pPr>
      <w:r>
        <w:t>a) si un certificat qualifié de signature électronique a été temporairement suspendu, ce certificat perd sa validité pendant la période de suspension.</w:t>
      </w:r>
    </w:p>
    <w:p w14:paraId="2CE31502" w14:textId="77777777" w:rsidR="00061690" w:rsidRDefault="00061690" w:rsidP="00061690">
      <w:pPr>
        <w:pStyle w:val="Sansinterligne"/>
        <w:jc w:val="both"/>
      </w:pPr>
      <w:r>
        <w:t>b) la période de suspension est clairement indiquée dans la base de données relative aux certificats et le statut de suspension est visible, pendant la période de suspension, auprès du service fournissant les informations sur le statut du certificat.</w:t>
      </w:r>
    </w:p>
    <w:p w14:paraId="1EA9A686" w14:textId="77777777" w:rsidR="00061690" w:rsidRPr="00061690" w:rsidRDefault="00061690" w:rsidP="00061690">
      <w:pPr>
        <w:pStyle w:val="Sansinterligne"/>
        <w:jc w:val="both"/>
      </w:pPr>
      <w:r>
        <w:t>6. La Commission peut, au moyen d’actes d’exécution, déterminer les numéros de référence des normes applicables aux certificats qualifiés de signature électronique. Un certificat qualifié de signature électronique est présumé satisfaire aux exigences fixées à l’annexe I lorsqu’il respecte ces normes. Ces actes d’exécution sont adoptés en conformité avec la procédure d’examen visée à l’article 48, paragraphe 2. »</w:t>
      </w:r>
    </w:p>
    <w:sectPr w:rsidR="00061690" w:rsidRPr="0006169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4C1C5" w14:textId="77777777" w:rsidR="009F08DB" w:rsidRDefault="009F08DB" w:rsidP="00FB3736">
      <w:pPr>
        <w:spacing w:after="0" w:line="240" w:lineRule="auto"/>
      </w:pPr>
      <w:r>
        <w:separator/>
      </w:r>
    </w:p>
  </w:endnote>
  <w:endnote w:type="continuationSeparator" w:id="0">
    <w:p w14:paraId="38DAA0F9" w14:textId="77777777" w:rsidR="009F08DB" w:rsidRDefault="009F08DB" w:rsidP="00FB3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B210" w14:textId="77777777" w:rsidR="00305BD5" w:rsidRDefault="00305B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7507" w14:textId="54A01D0D" w:rsidR="009030DF" w:rsidRPr="009030DF" w:rsidRDefault="009030DF" w:rsidP="009030DF">
    <w:pPr>
      <w:tabs>
        <w:tab w:val="center" w:pos="4536"/>
        <w:tab w:val="right" w:pos="9072"/>
      </w:tabs>
      <w:spacing w:after="0" w:line="240" w:lineRule="auto"/>
      <w:ind w:left="0" w:firstLine="0"/>
      <w:jc w:val="left"/>
      <w:rPr>
        <w:rFonts w:asciiTheme="minorHAnsi" w:eastAsiaTheme="minorHAnsi" w:hAnsiTheme="minorHAnsi" w:cstheme="minorBidi"/>
        <w:color w:val="auto"/>
        <w:sz w:val="22"/>
        <w:lang w:eastAsia="en-US"/>
      </w:rPr>
    </w:pPr>
    <w:r w:rsidRPr="009030DF">
      <w:rPr>
        <w:rFonts w:asciiTheme="minorHAnsi" w:eastAsiaTheme="minorHAnsi" w:hAnsiTheme="minorHAnsi" w:cstheme="minorBidi"/>
        <w:color w:val="auto"/>
        <w:sz w:val="22"/>
        <w:lang w:eastAsia="en-US"/>
      </w:rPr>
      <w:t xml:space="preserve">Page </w:t>
    </w:r>
    <w:r w:rsidRPr="009030DF">
      <w:rPr>
        <w:rFonts w:asciiTheme="minorHAnsi" w:eastAsiaTheme="minorHAnsi" w:hAnsiTheme="minorHAnsi" w:cstheme="minorBidi"/>
        <w:color w:val="auto"/>
        <w:sz w:val="22"/>
        <w:lang w:eastAsia="en-US"/>
      </w:rPr>
      <w:fldChar w:fldCharType="begin"/>
    </w:r>
    <w:r w:rsidRPr="009030DF">
      <w:rPr>
        <w:rFonts w:asciiTheme="minorHAnsi" w:eastAsiaTheme="minorHAnsi" w:hAnsiTheme="minorHAnsi" w:cstheme="minorBidi"/>
        <w:color w:val="auto"/>
        <w:sz w:val="22"/>
        <w:lang w:eastAsia="en-US"/>
      </w:rPr>
      <w:instrText>PAGE   \* MERGEFORMAT</w:instrText>
    </w:r>
    <w:r w:rsidRPr="009030DF">
      <w:rPr>
        <w:rFonts w:asciiTheme="minorHAnsi" w:eastAsiaTheme="minorHAnsi" w:hAnsiTheme="minorHAnsi" w:cstheme="minorBidi"/>
        <w:color w:val="auto"/>
        <w:sz w:val="22"/>
        <w:lang w:eastAsia="en-US"/>
      </w:rPr>
      <w:fldChar w:fldCharType="separate"/>
    </w:r>
    <w:r w:rsidRPr="009030DF">
      <w:rPr>
        <w:rFonts w:asciiTheme="minorHAnsi" w:eastAsiaTheme="minorHAnsi" w:hAnsiTheme="minorHAnsi" w:cstheme="minorBidi"/>
        <w:color w:val="auto"/>
        <w:sz w:val="22"/>
        <w:lang w:eastAsia="en-US"/>
      </w:rPr>
      <w:t>1</w:t>
    </w:r>
    <w:r w:rsidRPr="009030DF">
      <w:rPr>
        <w:rFonts w:asciiTheme="minorHAnsi" w:eastAsiaTheme="minorHAnsi" w:hAnsiTheme="minorHAnsi" w:cstheme="minorBidi"/>
        <w:color w:val="auto"/>
        <w:sz w:val="22"/>
        <w:lang w:eastAsia="en-US"/>
      </w:rPr>
      <w:fldChar w:fldCharType="end"/>
    </w:r>
    <w:r w:rsidRPr="009030DF">
      <w:rPr>
        <w:rFonts w:asciiTheme="minorHAnsi" w:eastAsiaTheme="minorHAnsi" w:hAnsiTheme="minorHAnsi" w:cstheme="minorBidi"/>
        <w:color w:val="auto"/>
        <w:sz w:val="22"/>
        <w:lang w:eastAsia="en-US"/>
      </w:rPr>
      <w:t xml:space="preserve"> | </w:t>
    </w:r>
    <w:r w:rsidRPr="009030DF">
      <w:rPr>
        <w:rFonts w:asciiTheme="minorHAnsi" w:eastAsiaTheme="minorHAnsi" w:hAnsiTheme="minorHAnsi" w:cstheme="minorBidi"/>
        <w:color w:val="auto"/>
        <w:sz w:val="22"/>
        <w:lang w:eastAsia="en-US"/>
      </w:rPr>
      <w:fldChar w:fldCharType="begin"/>
    </w:r>
    <w:r w:rsidRPr="009030DF">
      <w:rPr>
        <w:rFonts w:asciiTheme="minorHAnsi" w:eastAsiaTheme="minorHAnsi" w:hAnsiTheme="minorHAnsi" w:cstheme="minorBidi"/>
        <w:color w:val="auto"/>
        <w:sz w:val="22"/>
        <w:lang w:eastAsia="en-US"/>
      </w:rPr>
      <w:instrText>NUMPAGES  \* Arabic  \* MERGEFORMAT</w:instrText>
    </w:r>
    <w:r w:rsidRPr="009030DF">
      <w:rPr>
        <w:rFonts w:asciiTheme="minorHAnsi" w:eastAsiaTheme="minorHAnsi" w:hAnsiTheme="minorHAnsi" w:cstheme="minorBidi"/>
        <w:color w:val="auto"/>
        <w:sz w:val="22"/>
        <w:lang w:eastAsia="en-US"/>
      </w:rPr>
      <w:fldChar w:fldCharType="separate"/>
    </w:r>
    <w:r w:rsidRPr="009030DF">
      <w:rPr>
        <w:rFonts w:asciiTheme="minorHAnsi" w:eastAsiaTheme="minorHAnsi" w:hAnsiTheme="minorHAnsi" w:cstheme="minorBidi"/>
        <w:color w:val="auto"/>
        <w:sz w:val="22"/>
        <w:lang w:eastAsia="en-US"/>
      </w:rPr>
      <w:t>5</w:t>
    </w:r>
    <w:r w:rsidRPr="009030DF">
      <w:rPr>
        <w:rFonts w:asciiTheme="minorHAnsi" w:eastAsiaTheme="minorHAnsi" w:hAnsiTheme="minorHAnsi" w:cstheme="minorBidi"/>
        <w:color w:val="auto"/>
        <w:sz w:val="22"/>
        <w:lang w:eastAsia="en-US"/>
      </w:rPr>
      <w:fldChar w:fldCharType="end"/>
    </w:r>
    <w:r w:rsidRPr="009030DF">
      <w:rPr>
        <w:rFonts w:asciiTheme="minorHAnsi" w:eastAsiaTheme="minorHAnsi" w:hAnsiTheme="minorHAnsi" w:cstheme="minorBidi"/>
        <w:color w:val="auto"/>
        <w:sz w:val="22"/>
        <w:lang w:eastAsia="en-US"/>
      </w:rPr>
      <w:t xml:space="preserve">  </w:t>
    </w:r>
    <w:r w:rsidRPr="009030DF">
      <w:rPr>
        <w:rFonts w:asciiTheme="minorHAnsi" w:eastAsiaTheme="minorHAnsi" w:hAnsiTheme="minorHAnsi" w:cstheme="minorBidi"/>
        <w:color w:val="auto"/>
        <w:sz w:val="22"/>
        <w:lang w:eastAsia="en-US"/>
      </w:rPr>
      <w:tab/>
    </w:r>
    <w:r w:rsidRPr="009030DF">
      <w:rPr>
        <w:rFonts w:asciiTheme="minorHAnsi" w:eastAsiaTheme="minorHAnsi" w:hAnsiTheme="minorHAnsi" w:cstheme="minorBidi"/>
        <w:color w:val="auto"/>
        <w:sz w:val="22"/>
        <w:lang w:eastAsia="en-US"/>
      </w:rPr>
      <w:tab/>
      <w:t xml:space="preserve">Annexe </w:t>
    </w:r>
    <w:r>
      <w:rPr>
        <w:rFonts w:asciiTheme="minorHAnsi" w:eastAsiaTheme="minorHAnsi" w:hAnsiTheme="minorHAnsi" w:cstheme="minorBidi"/>
        <w:color w:val="auto"/>
        <w:sz w:val="22"/>
        <w:lang w:eastAsia="en-US"/>
      </w:rPr>
      <w:t>2</w:t>
    </w:r>
    <w:r w:rsidRPr="009030DF">
      <w:rPr>
        <w:rFonts w:asciiTheme="minorHAnsi" w:eastAsiaTheme="minorHAnsi" w:hAnsiTheme="minorHAnsi" w:cstheme="minorBidi"/>
        <w:color w:val="auto"/>
        <w:sz w:val="22"/>
        <w:lang w:eastAsia="en-US"/>
      </w:rPr>
      <w:t xml:space="preserve"> au RC_GCS UniHA M_3203</w:t>
    </w:r>
  </w:p>
  <w:p w14:paraId="616A5553" w14:textId="77777777" w:rsidR="009030DF" w:rsidRPr="009030DF" w:rsidRDefault="009030DF" w:rsidP="009030DF">
    <w:pPr>
      <w:tabs>
        <w:tab w:val="center" w:pos="4536"/>
        <w:tab w:val="right" w:pos="9072"/>
      </w:tabs>
      <w:spacing w:after="0" w:line="240" w:lineRule="auto"/>
      <w:ind w:left="0" w:firstLine="0"/>
      <w:jc w:val="left"/>
      <w:rPr>
        <w:rFonts w:asciiTheme="minorHAnsi" w:eastAsiaTheme="minorHAnsi" w:hAnsiTheme="minorHAnsi" w:cstheme="minorBidi"/>
        <w:color w:val="auto"/>
        <w:sz w:val="22"/>
        <w:lang w:eastAsia="en-US"/>
      </w:rPr>
    </w:pPr>
  </w:p>
  <w:p w14:paraId="2C7CF081" w14:textId="77777777" w:rsidR="00FB3736" w:rsidRDefault="00FB37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7461" w14:textId="77777777" w:rsidR="00305BD5" w:rsidRDefault="00305B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514A" w14:textId="77777777" w:rsidR="009F08DB" w:rsidRDefault="009F08DB" w:rsidP="00FB3736">
      <w:pPr>
        <w:spacing w:after="0" w:line="240" w:lineRule="auto"/>
      </w:pPr>
      <w:r>
        <w:separator/>
      </w:r>
    </w:p>
  </w:footnote>
  <w:footnote w:type="continuationSeparator" w:id="0">
    <w:p w14:paraId="75F26835" w14:textId="77777777" w:rsidR="009F08DB" w:rsidRDefault="009F08DB" w:rsidP="00FB3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DD3A" w14:textId="77777777" w:rsidR="00305BD5" w:rsidRDefault="00305B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06BDB" w14:textId="20A42DC5" w:rsidR="00EE447B" w:rsidRDefault="00EE447B">
    <w:pPr>
      <w:pStyle w:val="En-tte"/>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CB00A" w14:textId="77777777" w:rsidR="00305BD5" w:rsidRDefault="00305B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14.5pt;visibility:visible" o:bullet="t">
        <v:imagedata r:id="rId1" o:title=""/>
      </v:shape>
    </w:pict>
  </w:numPicBullet>
  <w:abstractNum w:abstractNumId="0" w15:restartNumberingAfterBreak="0">
    <w:nsid w:val="0D6E5B05"/>
    <w:multiLevelType w:val="hybridMultilevel"/>
    <w:tmpl w:val="94C6E9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B36522"/>
    <w:multiLevelType w:val="hybridMultilevel"/>
    <w:tmpl w:val="61184D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3B53B2"/>
    <w:multiLevelType w:val="hybridMultilevel"/>
    <w:tmpl w:val="CD1A115A"/>
    <w:lvl w:ilvl="0" w:tplc="F3860BD2">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CB04A9"/>
    <w:multiLevelType w:val="hybridMultilevel"/>
    <w:tmpl w:val="A85AF8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CB071FA"/>
    <w:multiLevelType w:val="hybridMultilevel"/>
    <w:tmpl w:val="93D4C982"/>
    <w:lvl w:ilvl="0" w:tplc="51FEF6AA">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FCD4345"/>
    <w:multiLevelType w:val="hybridMultilevel"/>
    <w:tmpl w:val="80D00CB8"/>
    <w:lvl w:ilvl="0" w:tplc="AD089E32">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91443E3"/>
    <w:multiLevelType w:val="hybridMultilevel"/>
    <w:tmpl w:val="3D2E7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A741368"/>
    <w:multiLevelType w:val="hybridMultilevel"/>
    <w:tmpl w:val="4C20F0B4"/>
    <w:lvl w:ilvl="0" w:tplc="DDDAB824">
      <w:start w:val="1"/>
      <w:numFmt w:val="bullet"/>
      <w:lvlText w:val=""/>
      <w:lvlJc w:val="left"/>
      <w:pPr>
        <w:ind w:left="720" w:hanging="360"/>
      </w:pPr>
      <w:rPr>
        <w:rFonts w:ascii="Wingdings" w:hAnsi="Wingdings"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4"/>
  </w:num>
  <w:num w:numId="5">
    <w:abstractNumId w:val="5"/>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62"/>
    <w:rsid w:val="00002ED4"/>
    <w:rsid w:val="000073F1"/>
    <w:rsid w:val="000565C0"/>
    <w:rsid w:val="00061690"/>
    <w:rsid w:val="00084255"/>
    <w:rsid w:val="000A6F18"/>
    <w:rsid w:val="000D773A"/>
    <w:rsid w:val="000D7D3B"/>
    <w:rsid w:val="000E3A80"/>
    <w:rsid w:val="00107108"/>
    <w:rsid w:val="001739BD"/>
    <w:rsid w:val="001A7C9D"/>
    <w:rsid w:val="001E225D"/>
    <w:rsid w:val="00221003"/>
    <w:rsid w:val="002378DC"/>
    <w:rsid w:val="0026164D"/>
    <w:rsid w:val="00264C9B"/>
    <w:rsid w:val="00275507"/>
    <w:rsid w:val="002B7878"/>
    <w:rsid w:val="002F6144"/>
    <w:rsid w:val="00305BD5"/>
    <w:rsid w:val="003200D4"/>
    <w:rsid w:val="00321F53"/>
    <w:rsid w:val="00356750"/>
    <w:rsid w:val="00382145"/>
    <w:rsid w:val="0038362C"/>
    <w:rsid w:val="003A2FC7"/>
    <w:rsid w:val="003B7223"/>
    <w:rsid w:val="003D34FA"/>
    <w:rsid w:val="00474498"/>
    <w:rsid w:val="00494FA2"/>
    <w:rsid w:val="0054482E"/>
    <w:rsid w:val="00575DE7"/>
    <w:rsid w:val="0059609D"/>
    <w:rsid w:val="005A7C8A"/>
    <w:rsid w:val="005D570D"/>
    <w:rsid w:val="00602F60"/>
    <w:rsid w:val="00617887"/>
    <w:rsid w:val="0062722F"/>
    <w:rsid w:val="00661AF6"/>
    <w:rsid w:val="006A68C6"/>
    <w:rsid w:val="006B2853"/>
    <w:rsid w:val="006F728B"/>
    <w:rsid w:val="00727DC1"/>
    <w:rsid w:val="0074295A"/>
    <w:rsid w:val="00754BD8"/>
    <w:rsid w:val="00782BC8"/>
    <w:rsid w:val="00791512"/>
    <w:rsid w:val="007C06EE"/>
    <w:rsid w:val="007D1316"/>
    <w:rsid w:val="007D6018"/>
    <w:rsid w:val="0083175D"/>
    <w:rsid w:val="008C3D68"/>
    <w:rsid w:val="009030DF"/>
    <w:rsid w:val="0096150E"/>
    <w:rsid w:val="00983163"/>
    <w:rsid w:val="00983B73"/>
    <w:rsid w:val="009B222A"/>
    <w:rsid w:val="009F08DB"/>
    <w:rsid w:val="00A04095"/>
    <w:rsid w:val="00A3110A"/>
    <w:rsid w:val="00A42C2E"/>
    <w:rsid w:val="00A75D5A"/>
    <w:rsid w:val="00AD5E24"/>
    <w:rsid w:val="00BA7CD8"/>
    <w:rsid w:val="00BF2D21"/>
    <w:rsid w:val="00BF3110"/>
    <w:rsid w:val="00C309A2"/>
    <w:rsid w:val="00C35ADE"/>
    <w:rsid w:val="00C51B22"/>
    <w:rsid w:val="00C60413"/>
    <w:rsid w:val="00C74916"/>
    <w:rsid w:val="00C817A0"/>
    <w:rsid w:val="00D41086"/>
    <w:rsid w:val="00D43289"/>
    <w:rsid w:val="00D46EAB"/>
    <w:rsid w:val="00D92052"/>
    <w:rsid w:val="00DB2D19"/>
    <w:rsid w:val="00DC3F63"/>
    <w:rsid w:val="00E02071"/>
    <w:rsid w:val="00E021FB"/>
    <w:rsid w:val="00E37EFD"/>
    <w:rsid w:val="00E8032B"/>
    <w:rsid w:val="00E9199C"/>
    <w:rsid w:val="00E959D2"/>
    <w:rsid w:val="00EE447B"/>
    <w:rsid w:val="00EF166E"/>
    <w:rsid w:val="00F2418D"/>
    <w:rsid w:val="00F2696B"/>
    <w:rsid w:val="00F62562"/>
    <w:rsid w:val="00F800DC"/>
    <w:rsid w:val="00F85572"/>
    <w:rsid w:val="00FB29C6"/>
    <w:rsid w:val="00FB3736"/>
    <w:rsid w:val="00FC4156"/>
    <w:rsid w:val="00FE62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80F4A"/>
  <w15:chartTrackingRefBased/>
  <w15:docId w15:val="{DA238E83-AB5F-4F75-87FA-DFD894E2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5C0"/>
    <w:pPr>
      <w:spacing w:after="1" w:line="256" w:lineRule="auto"/>
      <w:ind w:left="653" w:hanging="10"/>
      <w:jc w:val="both"/>
    </w:pPr>
    <w:rPr>
      <w:rFonts w:ascii="Times New Roman" w:eastAsia="Times New Roman" w:hAnsi="Times New Roman" w:cs="Times New Roman"/>
      <w:color w:val="000000"/>
      <w:sz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F62562"/>
    <w:pPr>
      <w:spacing w:after="0" w:line="240" w:lineRule="auto"/>
    </w:pPr>
  </w:style>
  <w:style w:type="character" w:styleId="Lienhypertexte">
    <w:name w:val="Hyperlink"/>
    <w:basedOn w:val="Policepardfaut"/>
    <w:uiPriority w:val="99"/>
    <w:unhideWhenUsed/>
    <w:rsid w:val="00575DE7"/>
    <w:rPr>
      <w:color w:val="0563C1" w:themeColor="hyperlink"/>
      <w:u w:val="single"/>
    </w:rPr>
  </w:style>
  <w:style w:type="character" w:styleId="Mentionnonrsolue">
    <w:name w:val="Unresolved Mention"/>
    <w:basedOn w:val="Policepardfaut"/>
    <w:uiPriority w:val="99"/>
    <w:semiHidden/>
    <w:unhideWhenUsed/>
    <w:rsid w:val="00575DE7"/>
    <w:rPr>
      <w:color w:val="605E5C"/>
      <w:shd w:val="clear" w:color="auto" w:fill="E1DFDD"/>
    </w:rPr>
  </w:style>
  <w:style w:type="paragraph" w:styleId="En-tte">
    <w:name w:val="header"/>
    <w:basedOn w:val="Normal"/>
    <w:link w:val="En-tteCar"/>
    <w:uiPriority w:val="99"/>
    <w:unhideWhenUsed/>
    <w:rsid w:val="00FB3736"/>
    <w:pPr>
      <w:tabs>
        <w:tab w:val="center" w:pos="4536"/>
        <w:tab w:val="right" w:pos="9072"/>
      </w:tabs>
      <w:spacing w:after="0" w:line="240" w:lineRule="auto"/>
      <w:ind w:left="0" w:firstLine="0"/>
      <w:jc w:val="left"/>
    </w:pPr>
    <w:rPr>
      <w:rFonts w:asciiTheme="minorHAnsi" w:eastAsiaTheme="minorHAnsi" w:hAnsiTheme="minorHAnsi" w:cstheme="minorBidi"/>
      <w:color w:val="auto"/>
      <w:sz w:val="22"/>
      <w:lang w:eastAsia="en-US"/>
    </w:rPr>
  </w:style>
  <w:style w:type="character" w:customStyle="1" w:styleId="En-tteCar">
    <w:name w:val="En-tête Car"/>
    <w:basedOn w:val="Policepardfaut"/>
    <w:link w:val="En-tte"/>
    <w:uiPriority w:val="99"/>
    <w:rsid w:val="00FB3736"/>
  </w:style>
  <w:style w:type="paragraph" w:styleId="Pieddepage">
    <w:name w:val="footer"/>
    <w:basedOn w:val="Normal"/>
    <w:link w:val="PieddepageCar"/>
    <w:uiPriority w:val="99"/>
    <w:unhideWhenUsed/>
    <w:rsid w:val="00FB3736"/>
    <w:pPr>
      <w:tabs>
        <w:tab w:val="center" w:pos="4536"/>
        <w:tab w:val="right" w:pos="9072"/>
      </w:tabs>
      <w:spacing w:after="0" w:line="240" w:lineRule="auto"/>
      <w:ind w:left="0" w:firstLine="0"/>
      <w:jc w:val="left"/>
    </w:pPr>
    <w:rPr>
      <w:rFonts w:asciiTheme="minorHAnsi" w:eastAsiaTheme="minorHAnsi" w:hAnsiTheme="minorHAnsi" w:cstheme="minorBidi"/>
      <w:color w:val="auto"/>
      <w:sz w:val="22"/>
      <w:lang w:eastAsia="en-US"/>
    </w:rPr>
  </w:style>
  <w:style w:type="character" w:customStyle="1" w:styleId="PieddepageCar">
    <w:name w:val="Pied de page Car"/>
    <w:basedOn w:val="Policepardfaut"/>
    <w:link w:val="Pieddepage"/>
    <w:uiPriority w:val="99"/>
    <w:rsid w:val="00FB3736"/>
  </w:style>
  <w:style w:type="paragraph" w:styleId="Notedebasdepage">
    <w:name w:val="footnote text"/>
    <w:basedOn w:val="Normal"/>
    <w:link w:val="NotedebasdepageCar"/>
    <w:uiPriority w:val="99"/>
    <w:semiHidden/>
    <w:unhideWhenUsed/>
    <w:rsid w:val="00321F53"/>
    <w:pPr>
      <w:spacing w:after="0" w:line="240" w:lineRule="auto"/>
      <w:ind w:left="0" w:firstLine="0"/>
      <w:jc w:val="left"/>
    </w:pPr>
    <w:rPr>
      <w:rFonts w:asciiTheme="minorHAnsi" w:eastAsiaTheme="minorHAnsi" w:hAnsiTheme="minorHAnsi" w:cstheme="minorBidi"/>
      <w:color w:val="auto"/>
      <w:szCs w:val="20"/>
      <w:lang w:eastAsia="en-US"/>
    </w:rPr>
  </w:style>
  <w:style w:type="character" w:customStyle="1" w:styleId="NotedebasdepageCar">
    <w:name w:val="Note de bas de page Car"/>
    <w:basedOn w:val="Policepardfaut"/>
    <w:link w:val="Notedebasdepage"/>
    <w:uiPriority w:val="99"/>
    <w:semiHidden/>
    <w:rsid w:val="00321F53"/>
    <w:rPr>
      <w:sz w:val="20"/>
      <w:szCs w:val="20"/>
    </w:rPr>
  </w:style>
  <w:style w:type="character" w:styleId="Appelnotedebasdep">
    <w:name w:val="footnote reference"/>
    <w:basedOn w:val="Policepardfaut"/>
    <w:uiPriority w:val="99"/>
    <w:semiHidden/>
    <w:unhideWhenUsed/>
    <w:rsid w:val="00321F53"/>
    <w:rPr>
      <w:vertAlign w:val="superscript"/>
    </w:rPr>
  </w:style>
  <w:style w:type="table" w:styleId="Grilledutableau">
    <w:name w:val="Table Grid"/>
    <w:basedOn w:val="TableauNormal"/>
    <w:uiPriority w:val="39"/>
    <w:rsid w:val="002210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74498"/>
    <w:pPr>
      <w:spacing w:after="160" w:line="259" w:lineRule="auto"/>
      <w:ind w:left="720" w:firstLine="0"/>
      <w:contextualSpacing/>
      <w:jc w:val="left"/>
    </w:pPr>
    <w:rPr>
      <w:rFonts w:asciiTheme="minorHAnsi" w:eastAsiaTheme="minorHAnsi" w:hAnsiTheme="minorHAnsi" w:cstheme="minorBidi"/>
      <w:color w:val="auto"/>
      <w:sz w:val="22"/>
      <w:lang w:eastAsia="en-US"/>
    </w:rPr>
  </w:style>
  <w:style w:type="character" w:styleId="Lienhypertextesuivivisit">
    <w:name w:val="FollowedHyperlink"/>
    <w:basedOn w:val="Policepardfaut"/>
    <w:uiPriority w:val="99"/>
    <w:semiHidden/>
    <w:unhideWhenUsed/>
    <w:rsid w:val="002B78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9aa0498-5b1a-48bc-9186-98c41b81ccc7" xsi:nil="true"/>
    <UniHAPieceMarcheType xmlns="f1ad6bec-f47c-4133-b008-e137c5c761d9">DCE</UniHAPieceMarcheType>
    <UniHAOrigine xmlns="febdceca-9535-4f1d-a881-98d530086dd8">UniHA</UniHAOrigine>
    <UniHAPieceJustificative xmlns="febdceca-9535-4f1d-a881-98d530086dd8">false</UniHAPieceJustificative>
    <lcf76f155ced4ddcb4097134ff3c332f xmlns="713874a7-25f2-455b-a648-59244ab36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ièce de marché" ma:contentTypeID="0x010100700DC3E99DC517469553F98C0A0A184A008FDB9D816207ED418A601B9F11184C6A" ma:contentTypeVersion="21" ma:contentTypeDescription="" ma:contentTypeScope="" ma:versionID="fea152656fa9388edc4fece94131c26a">
  <xsd:schema xmlns:xsd="http://www.w3.org/2001/XMLSchema" xmlns:xs="http://www.w3.org/2001/XMLSchema" xmlns:p="http://schemas.microsoft.com/office/2006/metadata/properties" xmlns:ns2="f1ad6bec-f47c-4133-b008-e137c5c761d9" xmlns:ns3="febdceca-9535-4f1d-a881-98d530086dd8" xmlns:ns4="713874a7-25f2-455b-a648-59244ab36ef7" xmlns:ns5="c9aa0498-5b1a-48bc-9186-98c41b81ccc7" targetNamespace="http://schemas.microsoft.com/office/2006/metadata/properties" ma:root="true" ma:fieldsID="470ed3b9d332b0d5bd18786c4e6a59f5" ns2:_="" ns3:_="" ns4:_="" ns5:_="">
    <xsd:import namespace="f1ad6bec-f47c-4133-b008-e137c5c761d9"/>
    <xsd:import namespace="febdceca-9535-4f1d-a881-98d530086dd8"/>
    <xsd:import namespace="713874a7-25f2-455b-a648-59244ab36ef7"/>
    <xsd:import namespace="c9aa0498-5b1a-48bc-9186-98c41b81ccc7"/>
    <xsd:element name="properties">
      <xsd:complexType>
        <xsd:sequence>
          <xsd:element name="documentManagement">
            <xsd:complexType>
              <xsd:all>
                <xsd:element ref="ns2:UniHAPieceMarcheType" minOccurs="0"/>
                <xsd:element ref="ns3:UniHAPieceJustificative" minOccurs="0"/>
                <xsd:element ref="ns3:UniHAOrigine"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6bec-f47c-4133-b008-e137c5c761d9" elementFormDefault="qualified">
    <xsd:import namespace="http://schemas.microsoft.com/office/2006/documentManagement/types"/>
    <xsd:import namespace="http://schemas.microsoft.com/office/infopath/2007/PartnerControls"/>
    <xsd:element name="UniHAPieceMarcheType" ma:index="8" nillable="true" ma:displayName="Type de pièce" ma:default="DCE" ma:format="Dropdown" ma:internalName="UniHAPieceMarcheType">
      <xsd:simpleType>
        <xsd:restriction base="dms:Choice">
          <xsd:enumeration value="DCE"/>
          <xsd:enumeration value="Offre retenue"/>
          <xsd:enumeration value="Avenants"/>
          <xsd:enumeration value="Guides et infos"/>
        </xsd:restriction>
      </xsd:simpleType>
    </xsd:element>
  </xsd:schema>
  <xsd:schema xmlns:xsd="http://www.w3.org/2001/XMLSchema" xmlns:xs="http://www.w3.org/2001/XMLSchema" xmlns:dms="http://schemas.microsoft.com/office/2006/documentManagement/types" xmlns:pc="http://schemas.microsoft.com/office/infopath/2007/PartnerControls" targetNamespace="febdceca-9535-4f1d-a881-98d530086dd8" elementFormDefault="qualified">
    <xsd:import namespace="http://schemas.microsoft.com/office/2006/documentManagement/types"/>
    <xsd:import namespace="http://schemas.microsoft.com/office/infopath/2007/PartnerControls"/>
    <xsd:element name="UniHAPieceJustificative" ma:index="9" nillable="true" ma:displayName="Pièce justificative" ma:default="0" ma:internalName="UniHAPieceJustificative">
      <xsd:simpleType>
        <xsd:restriction base="dms:Boolean"/>
      </xsd:simpleType>
    </xsd:element>
    <xsd:element name="UniHAOrigine" ma:index="10" nillable="true" ma:displayName="Origine" ma:default="UniHA" ma:format="Dropdown" ma:internalName="UniHAOrigine">
      <xsd:simpleType>
        <xsd:restriction base="dms:Choice">
          <xsd:enumeration value="UniHA"/>
          <xsd:enumeration value="Fournisseur"/>
          <xsd:enumeration value="Autre"/>
        </xsd:restriction>
      </xsd:simpleType>
    </xsd:element>
  </xsd:schema>
  <xsd:schema xmlns:xsd="http://www.w3.org/2001/XMLSchema" xmlns:xs="http://www.w3.org/2001/XMLSchema" xmlns:dms="http://schemas.microsoft.com/office/2006/documentManagement/types" xmlns:pc="http://schemas.microsoft.com/office/infopath/2007/PartnerControls" targetNamespace="713874a7-25f2-455b-a648-59244ab36ef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fc5fc0c5-19d4-497d-8b8d-5ed1649d56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aa0498-5b1a-48bc-9186-98c41b81c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3d159d-28ab-4e82-be13-152a8f3377b9}" ma:internalName="TaxCatchAll" ma:showField="CatchAllData" ma:web="c9aa0498-5b1a-48bc-9186-98c41b81cc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331BC-D09A-4416-B557-A7296A49A536}">
  <ds:schemaRefs>
    <ds:schemaRef ds:uri="http://schemas.openxmlformats.org/officeDocument/2006/bibliography"/>
  </ds:schemaRefs>
</ds:datastoreItem>
</file>

<file path=customXml/itemProps2.xml><?xml version="1.0" encoding="utf-8"?>
<ds:datastoreItem xmlns:ds="http://schemas.openxmlformats.org/officeDocument/2006/customXml" ds:itemID="{AFCF0E66-7841-4107-A9AE-4949EB9BC63A}">
  <ds:schemaRef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f1ad6bec-f47c-4133-b008-e137c5c761d9"/>
    <ds:schemaRef ds:uri="http://schemas.microsoft.com/office/2006/metadata/properties"/>
    <ds:schemaRef ds:uri="713874a7-25f2-455b-a648-59244ab36ef7"/>
    <ds:schemaRef ds:uri="http://purl.org/dc/terms/"/>
    <ds:schemaRef ds:uri="c9aa0498-5b1a-48bc-9186-98c41b81ccc7"/>
    <ds:schemaRef ds:uri="febdceca-9535-4f1d-a881-98d530086dd8"/>
    <ds:schemaRef ds:uri="http://www.w3.org/XML/1998/namespace"/>
  </ds:schemaRefs>
</ds:datastoreItem>
</file>

<file path=customXml/itemProps3.xml><?xml version="1.0" encoding="utf-8"?>
<ds:datastoreItem xmlns:ds="http://schemas.openxmlformats.org/officeDocument/2006/customXml" ds:itemID="{23B2F617-70FB-4473-908B-72ADE68D21AA}">
  <ds:schemaRefs>
    <ds:schemaRef ds:uri="http://schemas.microsoft.com/sharepoint/v3/contenttype/forms"/>
  </ds:schemaRefs>
</ds:datastoreItem>
</file>

<file path=customXml/itemProps4.xml><?xml version="1.0" encoding="utf-8"?>
<ds:datastoreItem xmlns:ds="http://schemas.openxmlformats.org/officeDocument/2006/customXml" ds:itemID="{DDF35AD1-4085-4DB4-8443-87B773D7224B}"/>
</file>

<file path=docProps/app.xml><?xml version="1.0" encoding="utf-8"?>
<Properties xmlns="http://schemas.openxmlformats.org/officeDocument/2006/extended-properties" xmlns:vt="http://schemas.openxmlformats.org/officeDocument/2006/docPropsVTypes">
  <Template>Normal</Template>
  <TotalTime>5</TotalTime>
  <Pages>3</Pages>
  <Words>696</Words>
  <Characters>3832</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CUNY</dc:creator>
  <cp:keywords/>
  <dc:description/>
  <cp:lastModifiedBy>Cyril LOPEZ</cp:lastModifiedBy>
  <cp:revision>7</cp:revision>
  <dcterms:created xsi:type="dcterms:W3CDTF">2025-11-13T10:04:00Z</dcterms:created>
  <dcterms:modified xsi:type="dcterms:W3CDTF">2026-02-13T08:47:00Z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0x010100700DC3E99DC517469553F98C0A0A184A008FDB9D816207ED418A601B9F11184C6A</vt:lpwstr>
  </property>
  <property fmtid="{D5CDD505-2E9C-101B-9397-08002B2CF9AE}" pid="3" name="MediaServiceImageTags">
    <vt:lpwstr/>
  </property>
</Properties>
</file>